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75E3" w14:textId="77777777" w:rsidR="00C01A2D" w:rsidRPr="00C81A91" w:rsidRDefault="00C81A91">
      <w:pPr>
        <w:rPr>
          <w:rFonts w:cstheme="minorHAnsi"/>
          <w:sz w:val="24"/>
        </w:rPr>
      </w:pPr>
      <w:r w:rsidRPr="00C81A91">
        <w:rPr>
          <w:rFonts w:cstheme="minorHAnsi"/>
          <w:sz w:val="24"/>
        </w:rPr>
        <w:t>Parks and Facility Rules</w:t>
      </w:r>
    </w:p>
    <w:p w14:paraId="2273867E"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All reservations and payments for use of facilities must be made and paid in advance through SPR (www.sanfordrec.com)</w:t>
      </w:r>
    </w:p>
    <w:p w14:paraId="44FB6185" w14:textId="2C8F3E03"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No alcoholic beverages, drugs, smoking (including vaping and e-cigarettes), or golf on any City grounds.</w:t>
      </w:r>
    </w:p>
    <w:p w14:paraId="7AD90BAC"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All facilities are CARRY IN/CARRY OUT.  Facility must be cleaned of all trash, debris and water bottles at the end of use.</w:t>
      </w:r>
    </w:p>
    <w:p w14:paraId="73A1B5F3"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Facilities do not have first aid and/or medical supplies.  Users are responsible for bringing their own  (Sanford PD 324-3644)</w:t>
      </w:r>
    </w:p>
    <w:p w14:paraId="1DCE1DD8" w14:textId="2B24D5B1" w:rsid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 xml:space="preserve">All facilities close at </w:t>
      </w:r>
      <w:r w:rsidR="00582914">
        <w:rPr>
          <w:rFonts w:eastAsia="Times New Roman" w:cstheme="minorHAnsi"/>
          <w:sz w:val="24"/>
          <w:szCs w:val="20"/>
        </w:rPr>
        <w:t>11pm</w:t>
      </w:r>
      <w:r w:rsidRPr="00C81A91">
        <w:rPr>
          <w:rFonts w:eastAsia="Times New Roman" w:cstheme="minorHAnsi"/>
          <w:sz w:val="24"/>
          <w:szCs w:val="20"/>
        </w:rPr>
        <w:t>.  POLICE TAKE NOTICE</w:t>
      </w:r>
    </w:p>
    <w:p w14:paraId="075BB6F9" w14:textId="2FC5695C" w:rsidR="007471BD" w:rsidRPr="00C81A91" w:rsidRDefault="00582914" w:rsidP="00C81A91">
      <w:pPr>
        <w:numPr>
          <w:ilvl w:val="0"/>
          <w:numId w:val="1"/>
        </w:numPr>
        <w:spacing w:after="0" w:line="240" w:lineRule="auto"/>
        <w:rPr>
          <w:rFonts w:eastAsia="Times New Roman" w:cstheme="minorHAnsi"/>
          <w:sz w:val="24"/>
          <w:szCs w:val="20"/>
        </w:rPr>
      </w:pPr>
      <w:r>
        <w:rPr>
          <w:rFonts w:eastAsia="Times New Roman" w:cstheme="minorHAnsi"/>
          <w:sz w:val="24"/>
          <w:szCs w:val="20"/>
        </w:rPr>
        <w:t xml:space="preserve">Gas </w:t>
      </w:r>
      <w:r w:rsidR="007471BD">
        <w:rPr>
          <w:rFonts w:eastAsia="Times New Roman" w:cstheme="minorHAnsi"/>
          <w:sz w:val="24"/>
          <w:szCs w:val="20"/>
        </w:rPr>
        <w:t>Grills are allowed at Springvale Rec Area, but must be used outside of the pavilions.</w:t>
      </w:r>
    </w:p>
    <w:p w14:paraId="64871737"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Field use by permit only.  Only members of said organization shall be allowed under this permit.</w:t>
      </w:r>
    </w:p>
    <w:p w14:paraId="2D9291FE" w14:textId="4367BD79"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 xml:space="preserve">No clambakes or shellfish allowed at recreation facilities.  </w:t>
      </w:r>
    </w:p>
    <w:p w14:paraId="6AF77E29"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 xml:space="preserve">Any additional equipment such as bounce houses, food trucks, </w:t>
      </w:r>
      <w:proofErr w:type="spellStart"/>
      <w:r w:rsidRPr="00C81A91">
        <w:rPr>
          <w:rFonts w:eastAsia="Times New Roman" w:cstheme="minorHAnsi"/>
          <w:sz w:val="24"/>
          <w:szCs w:val="20"/>
        </w:rPr>
        <w:t>etc</w:t>
      </w:r>
      <w:proofErr w:type="spellEnd"/>
      <w:r w:rsidRPr="00C81A91">
        <w:rPr>
          <w:rFonts w:eastAsia="Times New Roman" w:cstheme="minorHAnsi"/>
          <w:sz w:val="24"/>
          <w:szCs w:val="20"/>
        </w:rPr>
        <w:t>, brought onto the site must be approved by the Parks and Recreation Department.</w:t>
      </w:r>
    </w:p>
    <w:p w14:paraId="33AFD046"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Persons or organizations will be responsible for immediately reporting all damages to SPR.  Vandalism and/or property damage will be dealt with by the Police Department.  Please inspect facility upon arrival and report any damage as soon as possible.</w:t>
      </w:r>
    </w:p>
    <w:p w14:paraId="7AD5DE20"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Persons or organizations must lock bathrooms before you leave, regardless of others still using the facility.  (Bathroom keys must be returned within 72 hours of use)</w:t>
      </w:r>
    </w:p>
    <w:p w14:paraId="79B76383" w14:textId="1DC2E603"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There is a $25 deposit for the use of the bathroom key and sign</w:t>
      </w:r>
      <w:r w:rsidR="00582914">
        <w:rPr>
          <w:rFonts w:eastAsia="Times New Roman" w:cstheme="minorHAnsi"/>
          <w:sz w:val="24"/>
          <w:szCs w:val="20"/>
        </w:rPr>
        <w:t xml:space="preserve"> at Holdsworth Park</w:t>
      </w:r>
      <w:bookmarkStart w:id="0" w:name="_GoBack"/>
      <w:bookmarkEnd w:id="0"/>
      <w:r w:rsidRPr="00C81A91">
        <w:rPr>
          <w:rFonts w:eastAsia="Times New Roman" w:cstheme="minorHAnsi"/>
          <w:sz w:val="24"/>
          <w:szCs w:val="20"/>
        </w:rPr>
        <w:t>.  Your deposit will be returned when the key and sign is returned to SPR.</w:t>
      </w:r>
    </w:p>
    <w:p w14:paraId="0B719C64"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No profane or abusive language.</w:t>
      </w:r>
    </w:p>
    <w:p w14:paraId="20896F4A"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No fighting.</w:t>
      </w:r>
    </w:p>
    <w:p w14:paraId="537F1DE2"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Vehicles are to be kept in designated areas only.</w:t>
      </w:r>
    </w:p>
    <w:p w14:paraId="4EAA4330"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Music must be played at a reasonable level</w:t>
      </w:r>
    </w:p>
    <w:p w14:paraId="74E06B57"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SPR reserves the right to revoke or change times and dates on any permit should unforeseen circumstances arrive.</w:t>
      </w:r>
    </w:p>
    <w:p w14:paraId="6082DFD1"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Failure of an organization to abide by these rules and regulations may result in that organization losing its building privileges.</w:t>
      </w:r>
    </w:p>
    <w:p w14:paraId="17D12E78"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sz w:val="24"/>
          <w:szCs w:val="20"/>
        </w:rPr>
        <w:t>SPR reserves the right to cancel this and future permits to any users should they behave in a manner unacceptable to the Department and/or violate any of the rules &amp; regulations listed here</w:t>
      </w:r>
    </w:p>
    <w:p w14:paraId="4EF06764" w14:textId="77777777" w:rsidR="00C81A91" w:rsidRPr="00C81A91" w:rsidRDefault="00C81A91" w:rsidP="00C81A91">
      <w:pPr>
        <w:numPr>
          <w:ilvl w:val="0"/>
          <w:numId w:val="1"/>
        </w:numPr>
        <w:spacing w:after="0" w:line="240" w:lineRule="auto"/>
        <w:rPr>
          <w:rFonts w:eastAsia="Times New Roman" w:cstheme="minorHAnsi"/>
          <w:sz w:val="24"/>
          <w:szCs w:val="20"/>
        </w:rPr>
      </w:pPr>
      <w:r w:rsidRPr="00C81A91">
        <w:rPr>
          <w:rFonts w:eastAsia="Times New Roman" w:cstheme="minorHAnsi"/>
          <w:i/>
          <w:iCs/>
          <w:sz w:val="24"/>
          <w:szCs w:val="20"/>
          <w:u w:val="single"/>
        </w:rPr>
        <w:t>The USER shall hold harmless, indemnify and defend the City against liabilities, expenses and losses imposed upon them as a result of the negligent actions or inaction of the USER related to its use or operation of the premises.  The City shall hold harmless, indemnify and defend the USER against liabilities, expenses and losses imposed upon them as a result of the actions or inaction of the City’s employees, officers or agents related to its ownership of the Premises.  This obligation to indemnify shall not waive any defense immunity or limitation of liability, which may be available to the USER, under the Maine Tort Claims Act pursuant to the provisions of 14 MRSA Section 8101 et seq. or any other privileges or immunities as may be provided by law.</w:t>
      </w:r>
    </w:p>
    <w:p w14:paraId="77BB5133" w14:textId="77777777" w:rsidR="00C81A91" w:rsidRPr="00C81A91" w:rsidRDefault="00C81A91">
      <w:pPr>
        <w:rPr>
          <w:rFonts w:cstheme="minorHAnsi"/>
          <w:sz w:val="24"/>
        </w:rPr>
      </w:pPr>
    </w:p>
    <w:sectPr w:rsidR="00C81A91" w:rsidRPr="00C81A91" w:rsidSect="00C81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60BD"/>
    <w:multiLevelType w:val="hybridMultilevel"/>
    <w:tmpl w:val="9BBE3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91"/>
    <w:rsid w:val="00582914"/>
    <w:rsid w:val="007471BD"/>
    <w:rsid w:val="00C01A2D"/>
    <w:rsid w:val="00C8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D8C6"/>
  <w15:docId w15:val="{A0F14275-B9A7-48C9-A049-7247E4D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 Grady</dc:creator>
  <cp:lastModifiedBy>Alan R. Grady</cp:lastModifiedBy>
  <cp:revision>2</cp:revision>
  <cp:lastPrinted>2020-03-04T20:25:00Z</cp:lastPrinted>
  <dcterms:created xsi:type="dcterms:W3CDTF">2020-08-25T17:57:00Z</dcterms:created>
  <dcterms:modified xsi:type="dcterms:W3CDTF">2020-08-25T17:57:00Z</dcterms:modified>
</cp:coreProperties>
</file>